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A21" w:rsidRDefault="00977A21" w:rsidP="0008241C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038475" cy="1386686"/>
            <wp:effectExtent l="0" t="0" r="0" b="4445"/>
            <wp:docPr id="1" name="Immagine 1" descr="C:\Users\quiz\Desktop\logo marseglia  immag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uiz\Desktop\logo marseglia  immagi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929" cy="138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7A21" w:rsidRDefault="00977A21" w:rsidP="0008241C">
      <w:pPr>
        <w:rPr>
          <w:rFonts w:eastAsia="Times New Roman"/>
        </w:rPr>
      </w:pPr>
    </w:p>
    <w:p w:rsidR="0008241C" w:rsidRDefault="0008241C" w:rsidP="0008241C">
      <w:pPr>
        <w:rPr>
          <w:rFonts w:eastAsia="Times New Roman"/>
        </w:rPr>
      </w:pPr>
      <w:r>
        <w:rPr>
          <w:rFonts w:eastAsia="Times New Roman"/>
        </w:rPr>
        <w:t xml:space="preserve">Egregio cliente, 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come da comunicazione precedente riferita al "</w:t>
      </w:r>
      <w:proofErr w:type="spellStart"/>
      <w:r>
        <w:t>creditio</w:t>
      </w:r>
      <w:proofErr w:type="spellEnd"/>
      <w:r>
        <w:t xml:space="preserve"> d'imposta" vi informiamo della </w:t>
      </w:r>
      <w:r>
        <w:rPr>
          <w:b/>
          <w:bCs/>
        </w:rPr>
        <w:t>Risoluzione n. 33/E</w:t>
      </w:r>
      <w:r>
        <w:t xml:space="preserve"> dell’Agenzia delle Entrate che istituisce il codice tributo.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Il </w:t>
      </w:r>
      <w:r>
        <w:rPr>
          <w:b/>
          <w:bCs/>
        </w:rPr>
        <w:t>credito d’imposta</w:t>
      </w:r>
      <w:r>
        <w:t> potrà essere richiesto per le </w:t>
      </w:r>
      <w:r>
        <w:rPr>
          <w:b/>
          <w:bCs/>
        </w:rPr>
        <w:t>spese sostenute nel 2019 e nel 2020</w:t>
      </w:r>
      <w:r>
        <w:t> e sarà riconosciuto fino ad un massimo di </w:t>
      </w:r>
      <w:r>
        <w:rPr>
          <w:b/>
          <w:bCs/>
        </w:rPr>
        <w:t>250 euro per l’acquisto</w:t>
      </w:r>
      <w:r>
        <w:t> di registratori di cassa di nuova generazione e fino ad un massimo di </w:t>
      </w:r>
      <w:r>
        <w:rPr>
          <w:b/>
          <w:bCs/>
        </w:rPr>
        <w:t>50 euro per l’adattamento</w:t>
      </w:r>
      <w:r>
        <w:t>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È con il </w:t>
      </w:r>
      <w:r>
        <w:rPr>
          <w:b/>
          <w:bCs/>
        </w:rPr>
        <w:t>provvedimento del 28 febbraio 2019</w:t>
      </w:r>
      <w:r>
        <w:t> che l’</w:t>
      </w:r>
      <w:r>
        <w:rPr>
          <w:b/>
          <w:bCs/>
        </w:rPr>
        <w:t>Agenzia delle Entrate</w:t>
      </w:r>
      <w:r>
        <w:t> detta le regole per il riconoscimento e per l’utilizzo del credito d’imposta, il bonus per i registratori di cassa introdotto per agevolare gli esercenti attività commerciali al minuto e assimilati nella transizione al cosiddetto </w:t>
      </w:r>
      <w:r>
        <w:rPr>
          <w:b/>
          <w:bCs/>
        </w:rPr>
        <w:t>scontrino elettronico</w:t>
      </w:r>
      <w:r>
        <w:t>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Già a partire </w:t>
      </w:r>
      <w:r>
        <w:rPr>
          <w:b/>
          <w:bCs/>
        </w:rPr>
        <w:t>dal 1° luglio 2019</w:t>
      </w:r>
      <w:r>
        <w:t>, i soggetti di cui all’</w:t>
      </w:r>
      <w:hyperlink r:id="rId7" w:tgtFrame="_blank" w:history="1">
        <w:r>
          <w:rPr>
            <w:rStyle w:val="Collegamentoipertestuale"/>
            <w:b/>
            <w:bCs/>
            <w:u w:val="none"/>
          </w:rPr>
          <w:t>articolo 22 del DPR Iva</w:t>
        </w:r>
      </w:hyperlink>
      <w:r>
        <w:rPr>
          <w:color w:val="330033"/>
        </w:rPr>
        <w:t> </w:t>
      </w:r>
      <w:r>
        <w:t>con volume d’affari superiore a 400.000 euro sono tenuti a memorizzare e trasmettere in modalità telematica all’Agenzia delle Entrate i dati dei corrispettivi giornalieri. Il nuovo obbligo parallelo alla fatturazione elettronica si applicherà a tutti i commercianti </w:t>
      </w:r>
      <w:r>
        <w:rPr>
          <w:b/>
          <w:bCs/>
        </w:rPr>
        <w:t>a partire dal 1° gennaio 2020</w:t>
      </w:r>
      <w:r>
        <w:t>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Il </w:t>
      </w:r>
      <w:r>
        <w:rPr>
          <w:b/>
          <w:bCs/>
        </w:rPr>
        <w:t>bonus registratori di cassa</w:t>
      </w:r>
      <w:r>
        <w:t xml:space="preserve"> potrà essere utilizzato in compensazione, ma attenzione ai pagamenti: il corrispettivo per l’acquisto o l’adattamento </w:t>
      </w:r>
      <w:r>
        <w:rPr>
          <w:b/>
          <w:bCs/>
        </w:rPr>
        <w:t>dovrà essere pagato esclusivamente con mezzi tracciabili.</w:t>
      </w:r>
    </w:p>
    <w:p w:rsidR="0008241C" w:rsidRPr="0008241C" w:rsidRDefault="0008241C" w:rsidP="000824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auto"/>
          <w:sz w:val="23"/>
          <w:szCs w:val="23"/>
        </w:rPr>
      </w:pPr>
      <w:r w:rsidRPr="0008241C">
        <w:rPr>
          <w:rFonts w:ascii="Helvetica" w:eastAsia="Times New Roman" w:hAnsi="Helvetica" w:cs="Helvetica"/>
          <w:color w:val="auto"/>
          <w:sz w:val="23"/>
          <w:szCs w:val="23"/>
        </w:rPr>
        <w:t>assegni, bancari e postali, circolari e non, nonché i vaglia cambiari e postali;</w:t>
      </w:r>
    </w:p>
    <w:p w:rsidR="0008241C" w:rsidRPr="0008241C" w:rsidRDefault="0008241C" w:rsidP="000824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" w:eastAsia="Times New Roman" w:hAnsi="Helvetica" w:cs="Helvetica"/>
          <w:color w:val="auto"/>
          <w:sz w:val="23"/>
          <w:szCs w:val="23"/>
        </w:rPr>
      </w:pPr>
      <w:r w:rsidRPr="0008241C">
        <w:rPr>
          <w:rFonts w:ascii="Helvetica" w:eastAsia="Times New Roman" w:hAnsi="Helvetica" w:cs="Helvetica"/>
          <w:color w:val="auto"/>
          <w:sz w:val="23"/>
          <w:szCs w:val="23"/>
        </w:rPr>
        <w:t>addebito diretto, bonifico bancario o postale, bollettino postale, carte di debito, di credito, prepagate ovvero di altri strumenti di pagamento elettronico disponibili, che consentano anche l’addebito in conto corrente.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Il credito d’imposta, </w:t>
      </w:r>
      <w:r>
        <w:rPr>
          <w:b/>
          <w:bCs/>
        </w:rPr>
        <w:t>pari al 50%</w:t>
      </w:r>
      <w:r>
        <w:t xml:space="preserve"> dell’importo sostenuto (fino ad un massimo di 250 euro in caso di acquisto di nuovo registratore </w:t>
      </w:r>
      <w:proofErr w:type="spellStart"/>
      <w:r>
        <w:t>telamatico</w:t>
      </w:r>
      <w:proofErr w:type="spellEnd"/>
      <w:r>
        <w:t xml:space="preserve"> e di 50 euro in caso di adattamento) potrà essere utilizzato in </w:t>
      </w:r>
      <w:r>
        <w:rPr>
          <w:b/>
          <w:bCs/>
        </w:rPr>
        <w:t>compensazione con modello F24</w:t>
      </w:r>
      <w:r>
        <w:t> in modalità semplificata. Tanto premesso, per consentire l’utilizzo in compensazione, tramite modello F24, del credito d’imposta in argomento, è istituito il seguente codice tributo:</w:t>
      </w:r>
      <w:r>
        <w:rPr>
          <w:b/>
          <w:bCs/>
        </w:rPr>
        <w:t>“6899”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Sarà possibile utilizzare il credito riconosciuto a partire dalla prima liquidazione periodica IVA successiva alla data di registrazione della fattura relativa al pagamento del corrispettivo per l’acquisto o adattamento del registratore di cassa.</w:t>
      </w:r>
    </w:p>
    <w:p w:rsidR="0008241C" w:rsidRDefault="0008241C" w:rsidP="0008241C">
      <w:pPr>
        <w:pStyle w:val="NormaleWeb"/>
        <w:spacing w:before="300" w:beforeAutospacing="0" w:after="150" w:afterAutospacing="0"/>
      </w:pPr>
      <w:r>
        <w:t>Cordiali saluti</w:t>
      </w:r>
    </w:p>
    <w:p w:rsidR="00152023" w:rsidRDefault="00152023"/>
    <w:sectPr w:rsidR="001520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906F8"/>
    <w:multiLevelType w:val="multilevel"/>
    <w:tmpl w:val="2E38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14"/>
    <w:rsid w:val="0008241C"/>
    <w:rsid w:val="00152023"/>
    <w:rsid w:val="00877882"/>
    <w:rsid w:val="00937B14"/>
    <w:rsid w:val="0097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241C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52023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08241C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7A2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7A21"/>
    <w:rPr>
      <w:rFonts w:ascii="Tahoma" w:hAnsi="Tahoma" w:cs="Tahoma"/>
      <w:color w:val="000000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241C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52023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08241C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7A2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7A21"/>
    <w:rPr>
      <w:rFonts w:ascii="Tahoma" w:hAnsi="Tahoma" w:cs="Tahoma"/>
      <w:color w:val="000000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9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ef.finanze.it/DocTribFrontend/getArticoloDetailFromResultList.do?id=%7B59AA8AEB-EA9F-413F-91E2-2C558E77D9DC%7D&amp;codiceOrdinamento=200002200000000&amp;idAttoNormativo=%7B75A4827C-3766-4ECC-9C45-00C8D6CDC552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quiz</dc:creator>
  <cp:keywords/>
  <dc:description/>
  <cp:lastModifiedBy>quiz</cp:lastModifiedBy>
  <cp:revision>7</cp:revision>
  <cp:lastPrinted>2019-05-16T07:30:00Z</cp:lastPrinted>
  <dcterms:created xsi:type="dcterms:W3CDTF">2019-05-16T07:28:00Z</dcterms:created>
  <dcterms:modified xsi:type="dcterms:W3CDTF">2019-09-12T11:52:00Z</dcterms:modified>
</cp:coreProperties>
</file>